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5BEA6" w14:textId="77777777" w:rsidR="00014F45" w:rsidRPr="00014F45" w:rsidRDefault="00014F45" w:rsidP="00014F45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014F45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014F45">
        <w:rPr>
          <w:rFonts w:ascii="Times New Roman" w:eastAsia="黑体" w:hAnsi="Times New Roman" w:cs="Times New Roman"/>
          <w:sz w:val="32"/>
          <w:szCs w:val="32"/>
        </w:rPr>
        <w:t>3</w:t>
      </w:r>
    </w:p>
    <w:p w14:paraId="3C9F9EA7" w14:textId="77777777" w:rsidR="00014F45" w:rsidRPr="00014F45" w:rsidRDefault="00014F45" w:rsidP="00014F45">
      <w:pPr>
        <w:rPr>
          <w:rFonts w:ascii="Times New Roman" w:eastAsia="仿宋" w:hAnsi="Times New Roman" w:cs="Times New Roman"/>
          <w:sz w:val="28"/>
          <w:szCs w:val="36"/>
        </w:rPr>
      </w:pPr>
    </w:p>
    <w:p w14:paraId="529636EC" w14:textId="77777777" w:rsidR="00014F45" w:rsidRPr="00014F45" w:rsidRDefault="00014F45" w:rsidP="00014F45">
      <w:pPr>
        <w:spacing w:line="58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</w:pPr>
      <w:r w:rsidRPr="00014F45">
        <w:rPr>
          <w:rFonts w:ascii="Times New Roman" w:eastAsia="方正小标宋简体" w:hAnsi="Times New Roman" w:cs="Times New Roman" w:hint="eastAsia"/>
          <w:kern w:val="0"/>
          <w:sz w:val="44"/>
          <w:szCs w:val="44"/>
          <w:lang w:bidi="ar"/>
        </w:rPr>
        <w:t>市科技攻关“揭榜挂帅”项目征集需求</w:t>
      </w:r>
    </w:p>
    <w:p w14:paraId="67C5D5CC" w14:textId="77777777" w:rsidR="00014F45" w:rsidRPr="00014F45" w:rsidRDefault="00014F45" w:rsidP="00014F45">
      <w:pPr>
        <w:spacing w:line="58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</w:pPr>
      <w:r w:rsidRPr="00014F45">
        <w:rPr>
          <w:rFonts w:ascii="Times New Roman" w:eastAsia="方正小标宋简体" w:hAnsi="Times New Roman" w:cs="Times New Roman" w:hint="eastAsia"/>
          <w:kern w:val="0"/>
          <w:sz w:val="44"/>
          <w:szCs w:val="44"/>
          <w:lang w:bidi="ar"/>
        </w:rPr>
        <w:t>领域名词解释</w:t>
      </w:r>
    </w:p>
    <w:p w14:paraId="2BA7D9B0" w14:textId="77777777" w:rsidR="00014F45" w:rsidRPr="00014F45" w:rsidRDefault="00014F45" w:rsidP="00014F45">
      <w:pPr>
        <w:spacing w:line="58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</w:pPr>
    </w:p>
    <w:p w14:paraId="615701F6" w14:textId="77777777" w:rsidR="00014F45" w:rsidRPr="00014F45" w:rsidRDefault="00014F45" w:rsidP="00014F45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合肥市把握现代产业“融合”和“集群”两大趋势，坚持有所为有所不为，聚焦“符合产业方向、符合政策导向”和有利于发挥合肥比较优势的重点领域，聚力打造“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6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5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X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”产业集群体系。</w:t>
      </w:r>
    </w:p>
    <w:p w14:paraId="61F33014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014F45">
        <w:rPr>
          <w:rFonts w:ascii="Times New Roman" w:eastAsia="楷体_GB2312" w:hAnsi="Times New Roman" w:cs="Times New Roman" w:hint="eastAsia"/>
          <w:b/>
          <w:sz w:val="32"/>
          <w:szCs w:val="32"/>
        </w:rPr>
        <w:t>（一）做大</w:t>
      </w:r>
      <w:proofErr w:type="gramStart"/>
      <w:r w:rsidRPr="00014F45">
        <w:rPr>
          <w:rFonts w:ascii="Times New Roman" w:eastAsia="楷体_GB2312" w:hAnsi="Times New Roman" w:cs="Times New Roman" w:hint="eastAsia"/>
          <w:b/>
          <w:sz w:val="32"/>
          <w:szCs w:val="32"/>
        </w:rPr>
        <w:t>做强六大</w:t>
      </w:r>
      <w:proofErr w:type="gramEnd"/>
      <w:r w:rsidRPr="00014F45">
        <w:rPr>
          <w:rFonts w:ascii="Times New Roman" w:eastAsia="楷体_GB2312" w:hAnsi="Times New Roman" w:cs="Times New Roman" w:hint="eastAsia"/>
          <w:b/>
          <w:sz w:val="32"/>
          <w:szCs w:val="32"/>
        </w:rPr>
        <w:t>主导产业集群</w:t>
      </w:r>
    </w:p>
    <w:p w14:paraId="498856D1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．新能源汽车。</w:t>
      </w:r>
      <w:r w:rsidRPr="00014F4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围绕打造新能源汽车之都和智能新能源汽车创新高地，加强整车—零部件—后市场“三位一体”全链条布局，建设新能源汽车发展引领区，争创国家级产业集群。（</w:t>
      </w:r>
      <w:r w:rsidRPr="00014F45">
        <w:rPr>
          <w:rFonts w:ascii="Times New Roman" w:eastAsia="仿宋_GB2312" w:hAnsi="Times New Roman" w:cs="Times New Roman"/>
          <w:spacing w:val="-6"/>
          <w:sz w:val="32"/>
          <w:szCs w:val="32"/>
        </w:rPr>
        <w:t>1</w:t>
      </w:r>
      <w:r w:rsidRPr="00014F4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）整车，聚力打造下塘、新桥—南岗、新港—中派三大“百万辆”整车生产基地，推进新能源乘用车全谱系车型布局，覆盖从微型、紧凑型、中大型到豪华型的</w:t>
      </w:r>
      <w:proofErr w:type="gramStart"/>
      <w:r w:rsidRPr="00014F4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全价值</w:t>
      </w:r>
      <w:proofErr w:type="gramEnd"/>
      <w:r w:rsidRPr="00014F4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区间。大力发展新能源商（专）用车，加快公共领域商（专）用车辆全面新能源化。（</w:t>
      </w:r>
      <w:r w:rsidRPr="00014F45">
        <w:rPr>
          <w:rFonts w:ascii="Times New Roman" w:eastAsia="仿宋_GB2312" w:hAnsi="Times New Roman" w:cs="Times New Roman"/>
          <w:spacing w:val="-6"/>
          <w:sz w:val="32"/>
          <w:szCs w:val="32"/>
        </w:rPr>
        <w:t>2</w:t>
      </w:r>
      <w:r w:rsidRPr="00014F4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）零部件，重点建设高新区、新站高新区、包河区、肥西县、巢湖市、庐江县、肥东县等“百亿级”零部件配套园区，强化电池、电机、电控等核心部件配套，引导企业开展“车芯屏”协同攻关，发展车身轻量化等制造工艺，力争新能源汽车</w:t>
      </w:r>
      <w:proofErr w:type="gramStart"/>
      <w:r w:rsidRPr="00014F4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整零比</w:t>
      </w:r>
      <w:proofErr w:type="gramEnd"/>
      <w:r w:rsidRPr="00014F4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“翻一番”。（</w:t>
      </w:r>
      <w:r w:rsidRPr="00014F45">
        <w:rPr>
          <w:rFonts w:ascii="Times New Roman" w:eastAsia="仿宋_GB2312" w:hAnsi="Times New Roman" w:cs="Times New Roman"/>
          <w:spacing w:val="-6"/>
          <w:sz w:val="32"/>
          <w:szCs w:val="32"/>
        </w:rPr>
        <w:t>3</w:t>
      </w:r>
      <w:r w:rsidRPr="00014F4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）智能网联，围绕构建国内领先的智能网联汽车应用生态，加快布局基础设施、政策法规、技术标</w:t>
      </w:r>
      <w:r w:rsidRPr="00014F4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lastRenderedPageBreak/>
        <w:t>准体系，积极招引培育一批核心技术企业，率先开展全域性开放、全无人测试、商业化运营的城市级场景应用，争创国家级车联网先导区。（</w:t>
      </w:r>
      <w:r w:rsidRPr="00014F45">
        <w:rPr>
          <w:rFonts w:ascii="Times New Roman" w:eastAsia="仿宋_GB2312" w:hAnsi="Times New Roman" w:cs="Times New Roman"/>
          <w:spacing w:val="-6"/>
          <w:sz w:val="32"/>
          <w:szCs w:val="32"/>
        </w:rPr>
        <w:t>4</w:t>
      </w:r>
      <w:r w:rsidRPr="00014F4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）后市场，围绕打造全国重要汽车消费和服务中心，加快整车再制造、电池回收利用、检验检测、汽车旅游、汽车文化等后市场领域发展，鼓励“车电分离”经营模式，支持创建“电池银行”，加快建成新能源汽车展销中心，打造合肥国际新能源汽车展览会品牌。适度超前建设新能源汽车</w:t>
      </w:r>
      <w:proofErr w:type="gramStart"/>
      <w:r w:rsidRPr="00014F4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充换电</w:t>
      </w:r>
      <w:proofErr w:type="gramEnd"/>
      <w:r w:rsidRPr="00014F4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体系，实现农村行政村、城市住宅小区和全市旅游景点全覆盖。</w:t>
      </w:r>
    </w:p>
    <w:p w14:paraId="0E776AD1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．新一代信息技术。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围绕打造世界级新一代信息技术产业集群，巩固现有产业优势，加快新兴领域布局，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推动跨链融合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发展，构建以高新区、经开区、新站高新区为核心承载区，其他县（市、区）、开发区为联动发展区的产业格局。（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1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）新型显示，围绕打造世界显示之都，持续发展薄膜晶体管液晶显示（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TFT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LCD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）、有源矩阵有机发光二极体（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AMOLED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）、亚毫米发光二极管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/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微型发光二极管（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Mini/Micro LED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）、硅基有机发光二级管（硅基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OLED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）、量子点显示、空气成像、激光显示等七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大显示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技术，突破有机发光材料、高纯度靶材、蒸镀机等关键技术。推动智能终端向虚拟现实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/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增强现实（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AR/VR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）、超高清显示、车载显示模组等方向发展。（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2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）集成电路，围绕打造中国集成电路（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IC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）之都，做大做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强现有晶圆制造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基地，发展壮大存储、显示驱动、汽车电子等特色芯片，全面发力车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规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级芯片和绝缘栅双极晶体管（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IGBT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）器件，积极发展第三代半导体，加快培育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量子芯片、光子芯片、碳基芯片等新赛道，持续提升芯粒（</w:t>
      </w:r>
      <w:proofErr w:type="spellStart"/>
      <w:r w:rsidRPr="00014F45">
        <w:rPr>
          <w:rFonts w:ascii="Times New Roman" w:eastAsia="仿宋_GB2312" w:hAnsi="Times New Roman" w:cs="Times New Roman"/>
          <w:sz w:val="32"/>
          <w:szCs w:val="32"/>
        </w:rPr>
        <w:t>Chiplet</w:t>
      </w:r>
      <w:proofErr w:type="spell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）等先进封装能力。抢抓国产化替代机遇，加快培育引进大硅片、光刻胶、蚀刻机等核心材料装备项目。（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3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软件及人工智能，围绕打造中国软件名城，加快中国声谷、中国安全谷、中国网谷、中国视界和国家级合肥软件园等载体建设，发力高端工业软件、工业互联网平台、人工智能软件、行业应用软件四大领域，积极布局发展网络安全、数据交易、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信创等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领域，加快计算机辅助工程（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CAE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）、电子设计自动化（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EDA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）等国产化替代，构建“算力基础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公共平台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数据服务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应用生态”发展格局。（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4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城市安全，围绕打造引领性公共安全产业高地，做大做强城市生命线产业发展集团，依托清华大学合肥公共安全研究院，主导建立行业标准规范体系，强化感知设备、应用服务等上下游产业配套，建设辐射全国、开放共享的运营模式和生态体系。</w:t>
      </w:r>
    </w:p>
    <w:p w14:paraId="16499411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bCs/>
          <w:sz w:val="32"/>
          <w:szCs w:val="32"/>
        </w:rPr>
        <w:t>3</w:t>
      </w:r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．先进</w:t>
      </w:r>
      <w:proofErr w:type="gramStart"/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光伏及新型</w:t>
      </w:r>
      <w:proofErr w:type="gramEnd"/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储能。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围绕打造规模国内前列、技术国际一流的先进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光伏及新型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储能产业集群，推进“逆变器—电池组件—新型储能—智慧能源”全产业链发展，建设以高新区、肥东县、肥西县为引领，庐江县、长丰县、巢湖市、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安巢经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开区等协同发展的产业格局。（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1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）先进光伏，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突出提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质升级，壮大现有产业规模，加快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N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型电池、钙钛矿电池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和组串式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逆变器等产业化，补齐关键辅材和重要设备短板。深化国家屋顶分布式光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伏开发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试点城市建设，探索光伏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储能、光伏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制氢、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光储充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一体化等综合开发模式。（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2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）新型储能，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突出扩量增效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，加快现有储能电池产品迭代，布局钠离子、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固态半固态等电池前沿技术，强化隔膜、正负极材料等高价值环节配套。拓展新型储能集成设计、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源网荷储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一体化协同应用，构建电池梯次利用体系。（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3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）氢（氨）能，突出超前布局，依托合肥综合性国家科学中心能源研究院等重大平台，加快氢（氨）能“制运储用”全链条发展，推动成本持续下降，探索规模化应用。</w:t>
      </w:r>
    </w:p>
    <w:p w14:paraId="1FC2163C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bCs/>
          <w:sz w:val="32"/>
          <w:szCs w:val="32"/>
        </w:rPr>
        <w:t>4</w:t>
      </w:r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．生物医药。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围绕构建国内一流的产业生态和创新能力，打造全市新的支柱产业和国家级产业集群，完善以高新区为核心，肥西县、经开区、肥东县、庐江县、新站高新区、瑶海区、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蜀山区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等协同发展的产业格局。（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1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）生物制药，依托合肥综合性国家科学中心大健康研究院等平台和龙头企业，加快疫苗类（含动物疫苗）、干细胞类、新型抗体类、中医药类等创新药物研发上市。深化产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融合发展，提升药物临床前研究、生物制品等检验检测平台能力，支持健全“产业基金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公共服务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审批服务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场景应用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特殊载体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临床需求”全要素保障体系。（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2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）高端医疗器械，构建国家级医疗器械检验检测区域中心，创新医疗器械审批绿色通道，加速医学影像、体外诊断设备、高值耗材等高端医疗器械成果产业化，拓展智慧医疗、精准医疗等新赛道。</w:t>
      </w:r>
    </w:p>
    <w:p w14:paraId="73DBCF44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bCs/>
          <w:sz w:val="32"/>
          <w:szCs w:val="32"/>
        </w:rPr>
        <w:t>5</w:t>
      </w:r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．智能家电（居）。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围绕打造世界级智能家电（居）产业集群，引导现有龙头企业布局高价值产品、高技术产线、高附加值环节，构建以高新区、经开区、新站高新区为龙头，以肥东县、肥西县、长丰县、巢湖市等为特色集聚区的产业格局。健全与在肥家电企业总部对接机制，巩固白色家电市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场份额，大力发展厨卫小家电、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适老护幼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、可穿戴等“爆款单品”和全屋定制等新模式。加快建成智能家居展销中心，推进更多智能家居场景展示落地。</w:t>
      </w:r>
    </w:p>
    <w:p w14:paraId="52AB4AE1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bCs/>
          <w:sz w:val="32"/>
          <w:szCs w:val="32"/>
        </w:rPr>
        <w:t>6</w:t>
      </w:r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．高端装备及新材料。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围绕打造特色领域国际一流的高端装备和新材料基地，以新能源汽车、集成电路、新型显示、先进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光伏等产业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装备及材料需求为牵引，加快攻克一批核心技术，构建以经开区、高新区为引领，新站高新区、包河区、肥东县、肥西县、庐江县、巢湖市、庐阳区、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蜀山区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等为重点支撑的产业格局。（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1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）高端成套设备，巩固提升色选机、锻压机床、叉车等领域既有优势，培育发展泛半导体装备、新型储能装备、航空航天装备、太赫兹装备、仪器仪表、先进农机等一批新增长点。（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2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）传感器，聚焦消费电子、智能驾驶、智能机器人、智慧农业等应用领域，加快布局发展涵盖力、光、声、热、磁、气等“六感”的智能传感器产品。（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3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）机器人，以整机为引领，加快布局焊接总装、搬运清洁、安检巡查等机器人，强化减速器、控制器、伺服电机核心部件配套，加强人形机器人研发攻关。（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4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）节能环保，加快中国环境谷等平台建设，提升节能环保装备材料技术水平，构建技术研发、产品制造和服务全链条体系。（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5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）新材料，做强功能膜、铝镁合金、高分子材料等现有基础，加快先进电子材料、新能源电池材料、磁性材料等细分领域研发及产业化。</w:t>
      </w:r>
    </w:p>
    <w:p w14:paraId="1064783A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014F45">
        <w:rPr>
          <w:rFonts w:ascii="Times New Roman" w:eastAsia="楷体_GB2312" w:hAnsi="Times New Roman" w:cs="Times New Roman" w:hint="eastAsia"/>
          <w:b/>
          <w:sz w:val="32"/>
          <w:szCs w:val="32"/>
        </w:rPr>
        <w:t>（二）前瞻布局五大先导产业集群</w:t>
      </w:r>
    </w:p>
    <w:p w14:paraId="7964FE6B" w14:textId="77777777" w:rsidR="00014F45" w:rsidRPr="00014F45" w:rsidRDefault="00014F45" w:rsidP="00014F45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依托合肥综合性国家科学中心、中国科大等高校科研院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所基础科研优势，以科大硅谷、未来大科学城为主要承载区，组织实施未来产业孵化与加速计划，巩固培育量子信息、空天技术、聚变能源、下一代人工智能、合成生物等五大重点领域优势，持续跟踪下一代通讯技术、超导材料、元宇宙与区块链等若干前沿技术方向，创建国家未来产业先导区。</w:t>
      </w:r>
    </w:p>
    <w:p w14:paraId="3281354D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．量子信息。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紧盯全球量子信息科技前沿，保持量子信息产业国际竞争优势和全国首位优势。聚焦量子保密通信、量子计算、量子精密测量三大方向，依托“一室一院三平台”，加强产学研协同和成果转化，大力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培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引上下游企业。实施长三角量子通信城际干线网络、“量超融合”计算平台等重大工程，为企业“量身定制”更多示范应用场景。</w:t>
      </w:r>
    </w:p>
    <w:p w14:paraId="21E68A24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．空天技术。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围绕空天信息、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低空经济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两大领域，聚力打造“中国星城”，加快构建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低空经济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产业生态圈。依托深空探测实验室，推进星座体系建设，加快培育引进一批研发、制造和配套企业，丰富卫星通信、导航、遥感应用生态。依托国际先进技术应用推进中心，率先建成“全空间”无人体系，探索“全市域”无人系统示范应用和商业化模式，积极培育引进无人机、无人车、电动垂直起降（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eVTOL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）飞行器等“全链条”上下游企业。</w:t>
      </w:r>
    </w:p>
    <w:p w14:paraId="244E3F47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bCs/>
          <w:sz w:val="32"/>
          <w:szCs w:val="32"/>
        </w:rPr>
        <w:t>3</w:t>
      </w:r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．聚变能源。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标国际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领先水平，实施聚变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能商业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应用行动计划，有效聚合一批上下游企业，持续巩固国内产业链生态主导地位。加快高温超导磁体等前沿技术“沿途下蛋”，形成聚变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能商业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发电为主、若干衍生转化产业为辅的“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1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/>
          <w:sz w:val="32"/>
          <w:szCs w:val="32"/>
        </w:rPr>
        <w:t>N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”聚变能源产业格局。</w:t>
      </w:r>
    </w:p>
    <w:p w14:paraId="68DE431C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4</w:t>
      </w:r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．下一代人工智能。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围绕打造国内一流的通用人工智能创新生态，实施“通用人工智能</w:t>
      </w:r>
      <w:r w:rsidRPr="00014F45">
        <w:rPr>
          <w:rFonts w:ascii="Times New Roman" w:eastAsia="汉仪细圆B5" w:hAnsi="Times New Roman" w:cs="Times New Roman" w:hint="eastAsia"/>
          <w:sz w:val="32"/>
          <w:szCs w:val="32"/>
        </w:rPr>
        <w:t>＋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”发展计划，促进通用人工智能向千行百业渗透融合。联合行业龙头企业开展国产化软硬件一体化攻关，构筑通用智能底座。开展类脑多模态、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多脑区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协同、柔性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脑机接口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等类脑智能技术攻关，稳妥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推进脑机融合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技术多场景应用。</w:t>
      </w:r>
    </w:p>
    <w:p w14:paraId="31C16B7B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bCs/>
          <w:sz w:val="32"/>
          <w:szCs w:val="32"/>
        </w:rPr>
        <w:t>5</w:t>
      </w:r>
      <w:r w:rsidRPr="00014F4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．合成生物。</w:t>
      </w:r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围绕构建国内一流的合成生物技术创新和应用生态高地，强化顶层设计，以生物医药、工业催化、</w:t>
      </w:r>
      <w:proofErr w:type="gramStart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环保降碳等</w:t>
      </w:r>
      <w:proofErr w:type="gramEnd"/>
      <w:r w:rsidRPr="00014F45">
        <w:rPr>
          <w:rFonts w:ascii="Times New Roman" w:eastAsia="仿宋_GB2312" w:hAnsi="Times New Roman" w:cs="Times New Roman" w:hint="eastAsia"/>
          <w:sz w:val="32"/>
          <w:szCs w:val="32"/>
        </w:rPr>
        <w:t>领域应用需求为牵引，加快转化培育一批核心技术企业，形成先发集聚优势。</w:t>
      </w:r>
    </w:p>
    <w:p w14:paraId="64450D25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014F45">
        <w:rPr>
          <w:rFonts w:ascii="Times New Roman" w:eastAsia="楷体_GB2312" w:hAnsi="Times New Roman" w:cs="Times New Roman" w:hint="eastAsia"/>
          <w:b/>
          <w:sz w:val="32"/>
          <w:szCs w:val="32"/>
        </w:rPr>
        <w:t>（三）统筹发展现代农业和现代服务业</w:t>
      </w:r>
    </w:p>
    <w:p w14:paraId="48163EE0" w14:textId="77777777" w:rsidR="00014F45" w:rsidRPr="00014F45" w:rsidRDefault="00014F45" w:rsidP="00014F45">
      <w:pPr>
        <w:adjustRightInd w:val="0"/>
        <w:spacing w:line="580" w:lineRule="exact"/>
        <w:ind w:firstLineChars="200" w:firstLine="643"/>
        <w:rPr>
          <w:rFonts w:ascii="Times New Roman" w:eastAsia="仿宋_GB2312" w:hAnsi="Times New Roman" w:cs="Times New Roman"/>
          <w:bCs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sz w:val="32"/>
          <w:szCs w:val="32"/>
          <w:lang w:val="en"/>
        </w:rPr>
        <w:t>1</w:t>
      </w:r>
      <w:r w:rsidRPr="00014F45">
        <w:rPr>
          <w:rFonts w:ascii="Times New Roman" w:eastAsia="仿宋_GB2312" w:hAnsi="Times New Roman" w:cs="Times New Roman" w:hint="eastAsia"/>
          <w:b/>
          <w:sz w:val="32"/>
          <w:szCs w:val="32"/>
          <w:lang w:val="en"/>
        </w:rPr>
        <w:t>．</w:t>
      </w:r>
      <w:r w:rsidRPr="00014F45">
        <w:rPr>
          <w:rFonts w:ascii="Times New Roman" w:eastAsia="仿宋_GB2312" w:hAnsi="Times New Roman" w:cs="Times New Roman" w:hint="eastAsia"/>
          <w:b/>
          <w:sz w:val="32"/>
          <w:szCs w:val="32"/>
        </w:rPr>
        <w:t>现代农业。</w:t>
      </w:r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围绕打造全国有重要影响力的绿色食品及现代种</w:t>
      </w:r>
      <w:proofErr w:type="gramStart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业产业</w:t>
      </w:r>
      <w:proofErr w:type="gramEnd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千亿集群，做好“农头工尾”、“粮头食尾”、“畜头肉尾”增值文章，重点发展粮食、蔬菜、生猪、家禽、龙虾、草莓、种子、奶业八大百亿产业链。巩固提升粮食综合生产能力和优质农产品供给能力，积极发展设施农业和田头冷链。加快“种业之都”建设，依托生物育种安徽省实验室和智慧农业谷、中国菌物谷等创新平台优势，攻克基因编辑、精准育种等关键技术，培育更多种业优质新品和上市企业。做精做深农产品加工业，加快布局发展预制菜、宠物经济、休闲食品、农村电商等新赛道，打响一批“合”字号品牌，大力培育百亿级龙头企业。深化</w:t>
      </w:r>
      <w:proofErr w:type="gramStart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农文旅融合</w:t>
      </w:r>
      <w:proofErr w:type="gramEnd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发展，建设一批乡村旅游精品路线和目的地。</w:t>
      </w:r>
    </w:p>
    <w:p w14:paraId="1876E993" w14:textId="77777777" w:rsidR="00014F45" w:rsidRPr="00014F45" w:rsidRDefault="00014F45" w:rsidP="00014F45">
      <w:pPr>
        <w:spacing w:line="600" w:lineRule="exact"/>
        <w:ind w:firstLineChars="200" w:firstLine="643"/>
        <w:rPr>
          <w:rFonts w:ascii="Times New Roman" w:eastAsia="黑体" w:hAnsi="Times New Roman" w:cs="Times New Roman"/>
          <w:sz w:val="32"/>
          <w:szCs w:val="32"/>
        </w:rPr>
      </w:pPr>
      <w:r w:rsidRPr="00014F45">
        <w:rPr>
          <w:rFonts w:ascii="Times New Roman" w:eastAsia="仿宋_GB2312" w:hAnsi="Times New Roman" w:cs="Times New Roman"/>
          <w:b/>
          <w:sz w:val="32"/>
          <w:szCs w:val="32"/>
          <w:lang w:val="en"/>
        </w:rPr>
        <w:t>2</w:t>
      </w:r>
      <w:r w:rsidRPr="00014F45">
        <w:rPr>
          <w:rFonts w:ascii="Times New Roman" w:eastAsia="仿宋_GB2312" w:hAnsi="Times New Roman" w:cs="Times New Roman" w:hint="eastAsia"/>
          <w:b/>
          <w:sz w:val="32"/>
          <w:szCs w:val="32"/>
          <w:lang w:val="en"/>
        </w:rPr>
        <w:t>．</w:t>
      </w:r>
      <w:r w:rsidRPr="00014F45">
        <w:rPr>
          <w:rFonts w:ascii="Times New Roman" w:eastAsia="仿宋_GB2312" w:hAnsi="Times New Roman" w:cs="Times New Roman" w:hint="eastAsia"/>
          <w:b/>
          <w:sz w:val="32"/>
          <w:szCs w:val="32"/>
        </w:rPr>
        <w:t>现代服务业。</w:t>
      </w:r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围绕建设长三角新兴服务业中心，高标</w:t>
      </w:r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lastRenderedPageBreak/>
        <w:t>准打造虹桥国际开放枢纽合肥联动发展区，以战新产业、高端人才和品质生活需求为牵引，优化供给体系，提升服务能力，创新业态模式，梯次打造一批高品质现代服务业集聚区。生产性服务业，突出专业化和价值链高端延伸发展，加快自贸试验区、创新法</w:t>
      </w:r>
      <w:proofErr w:type="gramStart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务</w:t>
      </w:r>
      <w:proofErr w:type="gramEnd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区、跨境</w:t>
      </w:r>
      <w:proofErr w:type="gramStart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电商综试区</w:t>
      </w:r>
      <w:proofErr w:type="gramEnd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和金融后台服务基地建设，积极培育招引数字创意、工业设计、涉外法律、咨询评估、会计审计、高端猎头、知识产权、检测认证、贸易会展等细分领域龙头企业。生活性服务业，突出高品质和多样化升级发展，加快</w:t>
      </w:r>
      <w:proofErr w:type="gramStart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拓展首店消费</w:t>
      </w:r>
      <w:proofErr w:type="gramEnd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、夜间消费、体验消费、</w:t>
      </w:r>
      <w:proofErr w:type="gramStart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网红消费</w:t>
      </w:r>
      <w:proofErr w:type="gramEnd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、便民消费等领域新</w:t>
      </w:r>
      <w:proofErr w:type="gramStart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业态新模式</w:t>
      </w:r>
      <w:proofErr w:type="gramEnd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，打造一批</w:t>
      </w:r>
      <w:proofErr w:type="gramStart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高端商</w:t>
      </w:r>
      <w:proofErr w:type="gramEnd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圈和创新消费场景。围绕建设区域性文</w:t>
      </w:r>
      <w:proofErr w:type="gramStart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创产业</w:t>
      </w:r>
      <w:proofErr w:type="gramEnd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中心城市，重点培育引进高精尖文化装备、数字新媒体、沉浸式体验等新兴文化领域企业，打造一批百亿级文</w:t>
      </w:r>
      <w:proofErr w:type="gramStart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创产业</w:t>
      </w:r>
      <w:proofErr w:type="gramEnd"/>
      <w:r w:rsidRPr="00014F45">
        <w:rPr>
          <w:rFonts w:ascii="Times New Roman" w:eastAsia="仿宋_GB2312" w:hAnsi="Times New Roman" w:cs="Times New Roman" w:hint="eastAsia"/>
          <w:bCs/>
          <w:sz w:val="32"/>
          <w:szCs w:val="32"/>
        </w:rPr>
        <w:t>集聚区。加快国际化试点片区建设，谋划建设一批国际人才社区、国际医院、国际学校和国际化特色街区，持续提升城市国际化水平。</w:t>
      </w:r>
    </w:p>
    <w:p w14:paraId="7572FAC8" w14:textId="7A2A9D0B" w:rsidR="00A8568F" w:rsidRPr="00014F45" w:rsidRDefault="00A8568F" w:rsidP="00A8568F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sectPr w:rsidR="00A8568F" w:rsidRPr="00014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384C6" w14:textId="77777777" w:rsidR="00FB09BE" w:rsidRDefault="00FB09BE" w:rsidP="006B1A43">
      <w:r>
        <w:separator/>
      </w:r>
    </w:p>
  </w:endnote>
  <w:endnote w:type="continuationSeparator" w:id="0">
    <w:p w14:paraId="55A04914" w14:textId="77777777" w:rsidR="00FB09BE" w:rsidRDefault="00FB09BE" w:rsidP="006B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细圆B5">
    <w:altName w:val="仿宋"/>
    <w:charset w:val="88"/>
    <w:family w:val="auto"/>
    <w:pitch w:val="default"/>
    <w:sig w:usb0="00000001" w:usb1="080E0800" w:usb2="00000002" w:usb3="00000000" w:csb0="001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73BBD" w14:textId="77777777" w:rsidR="00FB09BE" w:rsidRDefault="00FB09BE" w:rsidP="006B1A43">
      <w:r>
        <w:separator/>
      </w:r>
    </w:p>
  </w:footnote>
  <w:footnote w:type="continuationSeparator" w:id="0">
    <w:p w14:paraId="2C35A04E" w14:textId="77777777" w:rsidR="00FB09BE" w:rsidRDefault="00FB09BE" w:rsidP="006B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3MDcxZWQwZmViMGEyZjdlNzA4Mjc3MmRhNzIzMDUifQ=="/>
  </w:docVars>
  <w:rsids>
    <w:rsidRoot w:val="2FCE0F61"/>
    <w:rsid w:val="EEBF8EF8"/>
    <w:rsid w:val="FF96177A"/>
    <w:rsid w:val="FFD4BEF2"/>
    <w:rsid w:val="FFFF941E"/>
    <w:rsid w:val="00014F45"/>
    <w:rsid w:val="000B5FCB"/>
    <w:rsid w:val="000E4086"/>
    <w:rsid w:val="001561CA"/>
    <w:rsid w:val="002256DC"/>
    <w:rsid w:val="00422245"/>
    <w:rsid w:val="00471368"/>
    <w:rsid w:val="005F07DF"/>
    <w:rsid w:val="006044E7"/>
    <w:rsid w:val="00647E91"/>
    <w:rsid w:val="006A6125"/>
    <w:rsid w:val="006B1A43"/>
    <w:rsid w:val="00826347"/>
    <w:rsid w:val="00844357"/>
    <w:rsid w:val="008A43CC"/>
    <w:rsid w:val="009154B2"/>
    <w:rsid w:val="009C5A41"/>
    <w:rsid w:val="00A059F2"/>
    <w:rsid w:val="00A8568F"/>
    <w:rsid w:val="00AC0A76"/>
    <w:rsid w:val="00B47E94"/>
    <w:rsid w:val="00C84E8C"/>
    <w:rsid w:val="00D2290E"/>
    <w:rsid w:val="00DE6BFC"/>
    <w:rsid w:val="00E4043C"/>
    <w:rsid w:val="00E95EEF"/>
    <w:rsid w:val="00F347E6"/>
    <w:rsid w:val="00F61322"/>
    <w:rsid w:val="00FB09BE"/>
    <w:rsid w:val="00FD27BB"/>
    <w:rsid w:val="2FCE0F61"/>
    <w:rsid w:val="3F7FB9CB"/>
    <w:rsid w:val="6FFEEEF2"/>
    <w:rsid w:val="6FFF3DC0"/>
    <w:rsid w:val="746558D4"/>
    <w:rsid w:val="7E1B34B4"/>
    <w:rsid w:val="7E73C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D2A7F"/>
  <w15:docId w15:val="{18DC8E5A-14B7-4535-97FD-0C6C2BF1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BodyTextIndent2">
    <w:name w:val="BodyTextIndent2"/>
    <w:qFormat/>
    <w:pPr>
      <w:suppressAutoHyphens/>
      <w:spacing w:after="120" w:line="480" w:lineRule="auto"/>
      <w:ind w:leftChars="200" w:left="200"/>
    </w:pPr>
    <w:rPr>
      <w:kern w:val="2"/>
      <w:sz w:val="24"/>
      <w:szCs w:val="24"/>
    </w:rPr>
  </w:style>
  <w:style w:type="character" w:customStyle="1" w:styleId="a8">
    <w:name w:val="页眉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郭仁辉</cp:lastModifiedBy>
  <cp:revision>6</cp:revision>
  <dcterms:created xsi:type="dcterms:W3CDTF">2024-04-24T01:59:00Z</dcterms:created>
  <dcterms:modified xsi:type="dcterms:W3CDTF">2024-04-25T01:03:00Z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84D0B46B0F8ACDDA264FB7651F0F6DE1</vt:lpwstr>
  </property>
</Properties>
</file>