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Arial" w:hAnsi="Arial" w:eastAsia="仿宋_GB2312" w:cs="Arial"/>
          <w:sz w:val="32"/>
          <w:szCs w:val="32"/>
        </w:rPr>
      </w:pPr>
      <w:r>
        <w:rPr>
          <w:rFonts w:hint="eastAsia" w:ascii="黑体" w:hAnsi="黑体" w:eastAsia="黑体"/>
          <w:sz w:val="32"/>
          <w:szCs w:val="32"/>
        </w:rPr>
        <w:t>附件1</w:t>
      </w:r>
      <w:r>
        <w:rPr>
          <w:rFonts w:ascii="Arial" w:hAnsi="Arial" w:eastAsia="仿宋_GB2312" w:cs="Arial"/>
          <w:sz w:val="32"/>
          <w:szCs w:val="32"/>
        </w:rPr>
        <w:t xml:space="preserve"> </w:t>
      </w:r>
    </w:p>
    <w:p>
      <w:pPr>
        <w:rPr>
          <w:rFonts w:ascii="Arial" w:hAnsi="Arial" w:eastAsia="仿宋_GB2312" w:cs="Arial"/>
          <w:sz w:val="32"/>
          <w:szCs w:val="32"/>
        </w:rPr>
      </w:pPr>
    </w:p>
    <w:p>
      <w:pPr>
        <w:spacing w:after="312" w:afterLines="100" w:line="700" w:lineRule="exact"/>
        <w:jc w:val="center"/>
        <w:rPr>
          <w:rFonts w:ascii="方正小标宋简体" w:hAnsi="Arial" w:eastAsia="方正小标宋简体" w:cs="Arial"/>
          <w:sz w:val="44"/>
          <w:szCs w:val="44"/>
        </w:rPr>
      </w:pPr>
      <w:bookmarkStart w:id="0" w:name="_GoBack"/>
      <w:r>
        <w:rPr>
          <w:rFonts w:hint="eastAsia" w:ascii="方正小标宋简体" w:hAnsi="Arial" w:eastAsia="方正小标宋简体" w:cs="Arial"/>
          <w:sz w:val="44"/>
          <w:szCs w:val="44"/>
        </w:rPr>
        <w:t>2024年省域副中心城市研究中心</w:t>
      </w:r>
      <w:r>
        <w:rPr>
          <w:rFonts w:ascii="方正小标宋简体" w:hAnsi="Arial" w:eastAsia="方正小标宋简体" w:cs="Arial"/>
          <w:sz w:val="44"/>
          <w:szCs w:val="44"/>
        </w:rPr>
        <w:br w:type="textWrapping"/>
      </w:r>
      <w:r>
        <w:rPr>
          <w:rFonts w:hint="eastAsia" w:ascii="方正小标宋简体" w:hAnsi="Arial" w:eastAsia="方正小标宋简体" w:cs="Arial"/>
          <w:sz w:val="44"/>
          <w:szCs w:val="44"/>
        </w:rPr>
        <w:t>第二批重点课题研究指南</w:t>
      </w:r>
    </w:p>
    <w:bookmarkEnd w:id="0"/>
    <w:p>
      <w:pPr>
        <w:spacing w:line="500" w:lineRule="exact"/>
        <w:ind w:firstLine="707" w:firstLineChars="221"/>
        <w:jc w:val="left"/>
        <w:rPr>
          <w:rFonts w:ascii="仿宋_GB2312" w:hAnsi="Arial" w:eastAsia="仿宋_GB2312" w:cs="Arial"/>
          <w:sz w:val="32"/>
          <w:szCs w:val="32"/>
        </w:rPr>
      </w:pPr>
      <w:r>
        <w:rPr>
          <w:rFonts w:ascii="黑体" w:hAnsi="黑体" w:eastAsia="黑体" w:cs="Arial"/>
          <w:sz w:val="32"/>
          <w:szCs w:val="32"/>
        </w:rPr>
        <w:t>1.关于</w:t>
      </w:r>
      <w:r>
        <w:rPr>
          <w:rFonts w:hint="eastAsia" w:ascii="黑体" w:hAnsi="黑体" w:eastAsia="黑体"/>
          <w:sz w:val="32"/>
          <w:szCs w:val="32"/>
        </w:rPr>
        <w:t>芜湖</w:t>
      </w:r>
      <w:r>
        <w:rPr>
          <w:rFonts w:ascii="黑体" w:hAnsi="黑体" w:eastAsia="黑体" w:cs="Arial"/>
          <w:sz w:val="32"/>
          <w:szCs w:val="32"/>
        </w:rPr>
        <w:t>市加快盘活利用高校和科研机构存量专利的研究</w:t>
      </w:r>
    </w:p>
    <w:p>
      <w:pPr>
        <w:spacing w:line="500" w:lineRule="exact"/>
        <w:ind w:firstLine="707" w:firstLineChars="221"/>
        <w:jc w:val="left"/>
        <w:rPr>
          <w:rFonts w:ascii="仿宋_GB2312" w:hAnsi="Arial" w:eastAsia="仿宋_GB2312" w:cs="Arial"/>
          <w:sz w:val="32"/>
          <w:szCs w:val="32"/>
        </w:rPr>
      </w:pPr>
      <w:r>
        <w:rPr>
          <w:rFonts w:hint="eastAsia" w:ascii="仿宋_GB2312" w:hAnsi="Arial" w:eastAsia="仿宋_GB2312" w:cs="Arial"/>
          <w:sz w:val="32"/>
          <w:szCs w:val="32"/>
        </w:rPr>
        <w:t>当前，高校和科研机构创新日益活跃，在高价值专利研发、助推企业发展壮大、支撑高水平科技自立自强等方面发挥了积极作用。习近平总书记指出，科技创新绝不仅仅是实验室里的研究，而是必须将科技成果转化为推动经济社会发展的现实动力。</w:t>
      </w:r>
      <w:r>
        <w:rPr>
          <w:rFonts w:ascii="仿宋_GB2312" w:hAnsi="Arial" w:eastAsia="仿宋_GB2312" w:cs="Arial"/>
          <w:sz w:val="32"/>
          <w:szCs w:val="32"/>
        </w:rPr>
        <w:t>2024年2月国家出台《高校和科研机构存量专利盘活工作方案》对梳理盘活高校和科研机构存量专利工作进行了全面部署，加大了高校和科研机构专利转化工作的广度、深度和力度，对于聚焦推动专利产业化、更好服务实体经济发展，具有重要的现实意义。然而目前我市高校和科研机构与产业需求结合还不够紧密，专利转化运用</w:t>
      </w:r>
      <w:r>
        <w:rPr>
          <w:rFonts w:hint="eastAsia" w:ascii="仿宋_GB2312" w:hAnsi="Arial" w:eastAsia="仿宋_GB2312" w:cs="Arial"/>
          <w:sz w:val="32"/>
          <w:szCs w:val="32"/>
        </w:rPr>
        <w:t>还存在难点堵点，支持实体经济发展的作用发挥还不够充分，需要着力加以解决。本课题基于我市现有高校和科研机构存量专利盘活情况，分析我市高校和科研机构存量专利盘活现状和存在的不足及如何对接外地高校和科研机构，借鉴先进地区经验，聚焦存量专利分类推广、落地转化等方面，调动各方力量，完善制度机制，引导存量专利更好赋能企业创新发展，提出具有指导性、针对性的方案和可操作性的政策建议。</w:t>
      </w:r>
    </w:p>
    <w:p>
      <w:pPr>
        <w:spacing w:line="500" w:lineRule="exact"/>
        <w:ind w:firstLine="707" w:firstLineChars="221"/>
        <w:jc w:val="left"/>
        <w:rPr>
          <w:rFonts w:ascii="仿宋_GB2312" w:hAnsi="Arial" w:eastAsia="仿宋_GB2312" w:cs="Arial"/>
          <w:sz w:val="32"/>
          <w:szCs w:val="32"/>
        </w:rPr>
      </w:pPr>
    </w:p>
    <w:p>
      <w:pPr>
        <w:spacing w:line="500" w:lineRule="exact"/>
        <w:ind w:firstLine="707" w:firstLineChars="221"/>
        <w:jc w:val="left"/>
        <w:rPr>
          <w:rFonts w:ascii="黑体" w:hAnsi="黑体" w:eastAsia="黑体" w:cs="Arial"/>
          <w:sz w:val="32"/>
          <w:szCs w:val="32"/>
        </w:rPr>
      </w:pPr>
      <w:r>
        <w:rPr>
          <w:rFonts w:ascii="黑体" w:hAnsi="黑体" w:eastAsia="黑体" w:cs="Arial"/>
          <w:sz w:val="32"/>
          <w:szCs w:val="32"/>
        </w:rPr>
        <w:t>2.推进科技招商，做专科技金融优势，打造</w:t>
      </w:r>
      <w:r>
        <w:rPr>
          <w:rFonts w:hint="eastAsia" w:ascii="黑体" w:hAnsi="黑体" w:eastAsia="黑体" w:cs="Arial"/>
          <w:sz w:val="32"/>
          <w:szCs w:val="32"/>
        </w:rPr>
        <w:t>芜湖</w:t>
      </w:r>
      <w:r>
        <w:rPr>
          <w:rFonts w:ascii="黑体" w:hAnsi="黑体" w:eastAsia="黑体" w:cs="Arial"/>
          <w:sz w:val="32"/>
          <w:szCs w:val="32"/>
        </w:rPr>
        <w:t>市“科创型中小企业集聚地”的对策研究。——借鉴苏州市、合肥市成功经验</w:t>
      </w:r>
    </w:p>
    <w:p>
      <w:pPr>
        <w:spacing w:line="500" w:lineRule="exact"/>
        <w:ind w:firstLine="707" w:firstLineChars="221"/>
        <w:jc w:val="left"/>
        <w:rPr>
          <w:rFonts w:ascii="仿宋_GB2312" w:hAnsi="Arial" w:eastAsia="仿宋_GB2312" w:cs="Arial"/>
          <w:sz w:val="32"/>
          <w:szCs w:val="32"/>
        </w:rPr>
      </w:pPr>
      <w:r>
        <w:rPr>
          <w:rFonts w:hint="eastAsia" w:ascii="仿宋_GB2312" w:hAnsi="Arial" w:eastAsia="仿宋_GB2312" w:cs="Arial"/>
          <w:sz w:val="32"/>
          <w:szCs w:val="32"/>
        </w:rPr>
        <w:t>随着新质生产力成为热点，科技招商也成为各地招商引资的重要突围点。科技招商不止是招“商”，还强调对各类创新资源的吸纳</w:t>
      </w:r>
      <w:r>
        <w:rPr>
          <w:rFonts w:ascii="仿宋_GB2312" w:hAnsi="Arial" w:eastAsia="仿宋_GB2312" w:cs="Arial"/>
          <w:sz w:val="32"/>
          <w:szCs w:val="32"/>
        </w:rPr>
        <w:t>,更注重“引智”。科技招商是增强自主创新能力、转变经济增长方式，提升区域综合竞争力的重要举措。而金融是科技创新的重要引擎之一。做好科技金融大文章，支持科技创新，有助于实现我国高水平科技自立自强，实现经济高质量发展。在此方面，科创企业扎堆落户的苏州市、合肥市的科技招商打法经验成果突出，苏州市成立全国首个市级科技招商中心，推动工作系统化、专业化、品牌化建设，构建协同高效开放的创新生态；合肥市除对资本</w:t>
      </w:r>
      <w:r>
        <w:rPr>
          <w:rFonts w:hint="eastAsia" w:ascii="仿宋_GB2312" w:hAnsi="Arial" w:eastAsia="仿宋_GB2312" w:cs="Arial"/>
          <w:sz w:val="32"/>
          <w:szCs w:val="32"/>
        </w:rPr>
        <w:t>招商外，还强化对科技成果、科研团队、创新平台以及科技服务等各类创新资源的吸纳，前期为对接团队提供资金、政策、场地等实打实的服务支持，后期围绕落地企业进一步推广场景应用，打出一系列组合拳，走稳这条内生发展之路。本课题要求在分析我市科技招商、发展科技金融现状和不足的基础上，借鉴苏州市、合肥市成功经验，围绕推动全市科技招商、做专科技金融优势，打造“科创型中小企业集聚地”等方面，提出具有指导性、针对性的路径对策和可操作性的政策建议。</w:t>
      </w:r>
    </w:p>
    <w:p>
      <w:pPr>
        <w:spacing w:line="500" w:lineRule="exact"/>
        <w:ind w:firstLine="707" w:firstLineChars="221"/>
        <w:jc w:val="left"/>
        <w:rPr>
          <w:rFonts w:ascii="仿宋_GB2312" w:hAnsi="Arial" w:eastAsia="仿宋_GB2312" w:cs="Arial"/>
          <w:sz w:val="32"/>
          <w:szCs w:val="32"/>
        </w:rPr>
      </w:pPr>
    </w:p>
    <w:p>
      <w:pPr>
        <w:spacing w:line="500" w:lineRule="exact"/>
        <w:ind w:firstLine="707" w:firstLineChars="221"/>
        <w:jc w:val="left"/>
        <w:rPr>
          <w:rFonts w:ascii="黑体" w:hAnsi="黑体" w:eastAsia="黑体" w:cs="Arial"/>
          <w:sz w:val="32"/>
          <w:szCs w:val="32"/>
        </w:rPr>
      </w:pPr>
      <w:r>
        <w:rPr>
          <w:rFonts w:ascii="黑体" w:hAnsi="黑体" w:eastAsia="黑体" w:cs="Arial"/>
          <w:sz w:val="32"/>
          <w:szCs w:val="32"/>
        </w:rPr>
        <w:t>3.如何用好</w:t>
      </w:r>
      <w:r>
        <w:rPr>
          <w:rFonts w:hint="eastAsia" w:ascii="黑体" w:hAnsi="黑体" w:eastAsia="黑体" w:cs="Arial"/>
          <w:sz w:val="32"/>
          <w:szCs w:val="32"/>
        </w:rPr>
        <w:t>芜湖</w:t>
      </w:r>
      <w:r>
        <w:rPr>
          <w:rFonts w:ascii="黑体" w:hAnsi="黑体" w:eastAsia="黑体" w:cs="Arial"/>
          <w:sz w:val="32"/>
          <w:szCs w:val="32"/>
        </w:rPr>
        <w:t>市科创飞地，更好链接长三角乃至全球科创资源的方案研究</w:t>
      </w:r>
    </w:p>
    <w:p>
      <w:pPr>
        <w:spacing w:line="500" w:lineRule="exact"/>
        <w:ind w:firstLine="707" w:firstLineChars="221"/>
        <w:jc w:val="left"/>
        <w:rPr>
          <w:rFonts w:ascii="仿宋_GB2312" w:hAnsi="Arial" w:eastAsia="仿宋_GB2312" w:cs="Arial"/>
          <w:sz w:val="32"/>
          <w:szCs w:val="32"/>
        </w:rPr>
      </w:pPr>
      <w:r>
        <w:rPr>
          <w:rFonts w:hint="eastAsia" w:ascii="仿宋_GB2312" w:hAnsi="Arial" w:eastAsia="仿宋_GB2312" w:cs="Arial"/>
          <w:sz w:val="32"/>
          <w:szCs w:val="32"/>
        </w:rPr>
        <w:t>“科创飞地”作为芜湖市产业孵化和双招双引的重要抓手，打破了科创园区、科创平台跨区域限制，使科创要素和产业要素实现有效对接，通过跨空间开发实现资源互补、协调发展。</w:t>
      </w:r>
      <w:r>
        <w:rPr>
          <w:rFonts w:ascii="仿宋_GB2312" w:hAnsi="Arial" w:eastAsia="仿宋_GB2312" w:cs="Arial"/>
          <w:sz w:val="32"/>
          <w:szCs w:val="32"/>
        </w:rPr>
        <w:t>2023年初，长三角G60科创走廊芜湖（上海）产业创新中心项目土地成功摘牌，为我市打造高能级产业创新平台开启了新篇章，对弥补我市科创短板，向资源富集的地方借力发展具有重要的现实意义。但我市“科创飞地”在发展过程中仍存在支持政策错位、产业定位不清晰、利益共享不畅等问题，如何切实发挥“科创飞地”的作用，更好链接长三角乃至全球科创资源，迫切需要进一步的探索</w:t>
      </w:r>
      <w:r>
        <w:rPr>
          <w:rFonts w:hint="eastAsia" w:ascii="仿宋_GB2312" w:hAnsi="Arial" w:eastAsia="仿宋_GB2312" w:cs="Arial"/>
          <w:sz w:val="32"/>
          <w:szCs w:val="32"/>
        </w:rPr>
        <w:t>创新。本课题要求立足我市“科创飞地”发展现状，分析我市“科创飞地”在发展和利用过程中存在的不足与挑战，围绕利益分配机制、运营合作机制、建设协商机制等方面，在借鉴其他地区发展经验基础上，针对我市用好“科创飞地”，更好链接长三角乃至全球科创资源，提出具有针对性、可操作性的政策建议。</w:t>
      </w:r>
    </w:p>
    <w:p>
      <w:pPr>
        <w:spacing w:line="500" w:lineRule="exact"/>
        <w:ind w:firstLine="707" w:firstLineChars="221"/>
        <w:jc w:val="left"/>
        <w:rPr>
          <w:rFonts w:ascii="仿宋_GB2312" w:hAnsi="Arial" w:eastAsia="仿宋_GB2312" w:cs="Arial"/>
          <w:sz w:val="32"/>
          <w:szCs w:val="32"/>
        </w:rPr>
      </w:pPr>
    </w:p>
    <w:p>
      <w:pPr>
        <w:spacing w:line="500" w:lineRule="exact"/>
        <w:ind w:firstLine="707" w:firstLineChars="221"/>
        <w:jc w:val="left"/>
        <w:rPr>
          <w:rFonts w:ascii="黑体" w:hAnsi="黑体" w:eastAsia="黑体" w:cs="Arial"/>
          <w:sz w:val="32"/>
          <w:szCs w:val="32"/>
        </w:rPr>
      </w:pPr>
      <w:r>
        <w:rPr>
          <w:rFonts w:ascii="黑体" w:hAnsi="黑体" w:eastAsia="黑体" w:cs="Arial"/>
          <w:sz w:val="32"/>
          <w:szCs w:val="32"/>
        </w:rPr>
        <w:t>4.关于</w:t>
      </w:r>
      <w:r>
        <w:rPr>
          <w:rFonts w:hint="eastAsia" w:ascii="黑体" w:hAnsi="黑体" w:eastAsia="黑体" w:cs="Arial"/>
          <w:sz w:val="32"/>
          <w:szCs w:val="32"/>
        </w:rPr>
        <w:t>芜湖</w:t>
      </w:r>
      <w:r>
        <w:rPr>
          <w:rFonts w:ascii="黑体" w:hAnsi="黑体" w:eastAsia="黑体" w:cs="Arial"/>
          <w:sz w:val="32"/>
          <w:szCs w:val="32"/>
        </w:rPr>
        <w:t>市数据资产开发管理与利用，助力数字经济高质量发展的对策研究</w:t>
      </w:r>
    </w:p>
    <w:p>
      <w:pPr>
        <w:spacing w:line="500" w:lineRule="exact"/>
        <w:ind w:firstLine="707" w:firstLineChars="221"/>
        <w:jc w:val="left"/>
        <w:rPr>
          <w:rFonts w:ascii="仿宋_GB2312" w:hAnsi="Arial" w:eastAsia="仿宋_GB2312" w:cs="Arial"/>
          <w:sz w:val="32"/>
          <w:szCs w:val="32"/>
        </w:rPr>
      </w:pPr>
      <w:r>
        <w:rPr>
          <w:rFonts w:hint="eastAsia" w:ascii="仿宋_GB2312" w:hAnsi="Arial" w:eastAsia="仿宋_GB2312" w:cs="Arial"/>
          <w:sz w:val="32"/>
          <w:szCs w:val="32"/>
        </w:rPr>
        <w:t>数据资产，作为经济社会数字化转型进程中的新兴资产类型，正日益成为推动数字中国建设和加快数字经济发展的重要战略资源。进一步发挥数据要素的放大、叠加、倍增作用，对于构建以数据为关键要素的数字经济、推动高质量发展具有重要意义。</w:t>
      </w:r>
      <w:r>
        <w:rPr>
          <w:rFonts w:ascii="仿宋_GB2312" w:hAnsi="Arial" w:eastAsia="仿宋_GB2312" w:cs="Arial"/>
          <w:sz w:val="32"/>
          <w:szCs w:val="32"/>
        </w:rPr>
        <w:t>2023年12月，财政部制定印发了《关于加强数据资产管理的指导意见》，规范和加强数据资产管理，更好推动数字经济发展。我市坚持提前谋划、顶格推动，抢抓数据中心集群建设战略机遇，积极探索并推进数据资产开发管理与利用，打造数字经济新高地。本课题基于芜湖市数字产业发展背景，分析当前芜湖在数据资产开发</w:t>
      </w:r>
      <w:r>
        <w:rPr>
          <w:rFonts w:hint="eastAsia" w:ascii="仿宋_GB2312" w:hAnsi="Arial" w:eastAsia="仿宋_GB2312" w:cs="Arial"/>
          <w:sz w:val="32"/>
          <w:szCs w:val="32"/>
        </w:rPr>
        <w:t>管理与利用方面的现状和不足，并借鉴先进地区经验，探索推进数据基础制度建设、数据流通交易、典型应用场景打造、数据跨境流通试点等工作，推动数据资产从开发到管理、利用的全流程标准化、规范化建设，构建“市场主导、政府引导、多方共建”的数据资产治理模式，为我市高标准推进数据资产开发利用与管理、助力全市数字经济高质量发展，提出具有指导性、针对性的对策和可操作性的建议。</w:t>
      </w:r>
    </w:p>
    <w:p>
      <w:pPr>
        <w:widowControl/>
        <w:jc w:val="left"/>
        <w:rPr>
          <w:rFonts w:hint="eastAsia" w:ascii="仿宋_GB2312" w:hAnsi="Times New Roman" w:eastAsia="仿宋_GB2312" w:cs="Times New Roman"/>
          <w:bCs/>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21"/>
        <w:szCs w:val="21"/>
      </w:rPr>
    </w:pPr>
    <w:r>
      <w:rPr>
        <w:sz w:val="21"/>
        <w:szCs w:val="21"/>
      </w:rPr>
      <w:fldChar w:fldCharType="begin"/>
    </w:r>
    <w:r>
      <w:rPr>
        <w:rStyle w:val="8"/>
        <w:sz w:val="21"/>
        <w:szCs w:val="21"/>
      </w:rPr>
      <w:instrText xml:space="preserve">PAGE  </w:instrText>
    </w:r>
    <w:r>
      <w:rPr>
        <w:sz w:val="21"/>
        <w:szCs w:val="21"/>
      </w:rPr>
      <w:fldChar w:fldCharType="separate"/>
    </w:r>
    <w:r>
      <w:rPr>
        <w:rStyle w:val="8"/>
        <w:sz w:val="21"/>
        <w:szCs w:val="21"/>
      </w:rPr>
      <w:t>1</w:t>
    </w:r>
    <w:r>
      <w:rPr>
        <w:sz w:val="21"/>
        <w:szCs w:val="21"/>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lZGVhYjA3MTJiMGVjNTMxZWJhZjEwMzFmYmZlZTUifQ=="/>
  </w:docVars>
  <w:rsids>
    <w:rsidRoot w:val="008D01CF"/>
    <w:rsid w:val="000251DD"/>
    <w:rsid w:val="00037B8F"/>
    <w:rsid w:val="00051928"/>
    <w:rsid w:val="00065BF2"/>
    <w:rsid w:val="000856C7"/>
    <w:rsid w:val="000856E6"/>
    <w:rsid w:val="00087FDC"/>
    <w:rsid w:val="001014AA"/>
    <w:rsid w:val="0012347C"/>
    <w:rsid w:val="00167265"/>
    <w:rsid w:val="001743FC"/>
    <w:rsid w:val="00183EC1"/>
    <w:rsid w:val="0018600B"/>
    <w:rsid w:val="00194768"/>
    <w:rsid w:val="001E67F0"/>
    <w:rsid w:val="00211069"/>
    <w:rsid w:val="002167C1"/>
    <w:rsid w:val="00231598"/>
    <w:rsid w:val="00286558"/>
    <w:rsid w:val="002A7A42"/>
    <w:rsid w:val="002C7E6D"/>
    <w:rsid w:val="00304689"/>
    <w:rsid w:val="003164CE"/>
    <w:rsid w:val="00317663"/>
    <w:rsid w:val="003274CA"/>
    <w:rsid w:val="0032781A"/>
    <w:rsid w:val="00332340"/>
    <w:rsid w:val="00333DE4"/>
    <w:rsid w:val="00351BAE"/>
    <w:rsid w:val="00357445"/>
    <w:rsid w:val="003926C9"/>
    <w:rsid w:val="003E3C53"/>
    <w:rsid w:val="00400205"/>
    <w:rsid w:val="004027A8"/>
    <w:rsid w:val="00412356"/>
    <w:rsid w:val="00414F51"/>
    <w:rsid w:val="00430D79"/>
    <w:rsid w:val="004608E3"/>
    <w:rsid w:val="0048117B"/>
    <w:rsid w:val="00503146"/>
    <w:rsid w:val="00512BB7"/>
    <w:rsid w:val="00521806"/>
    <w:rsid w:val="00541745"/>
    <w:rsid w:val="005525EC"/>
    <w:rsid w:val="00573C46"/>
    <w:rsid w:val="005828DA"/>
    <w:rsid w:val="00591D39"/>
    <w:rsid w:val="005A6B5C"/>
    <w:rsid w:val="005C0BF4"/>
    <w:rsid w:val="005D0561"/>
    <w:rsid w:val="005E29F2"/>
    <w:rsid w:val="005F04B8"/>
    <w:rsid w:val="006007C2"/>
    <w:rsid w:val="0060499F"/>
    <w:rsid w:val="00605956"/>
    <w:rsid w:val="00612A55"/>
    <w:rsid w:val="00633509"/>
    <w:rsid w:val="00661DFD"/>
    <w:rsid w:val="0069602E"/>
    <w:rsid w:val="006B52FE"/>
    <w:rsid w:val="006C6773"/>
    <w:rsid w:val="00706F2E"/>
    <w:rsid w:val="00725D2C"/>
    <w:rsid w:val="007552F0"/>
    <w:rsid w:val="00757DCA"/>
    <w:rsid w:val="007613AC"/>
    <w:rsid w:val="00762E06"/>
    <w:rsid w:val="007A2E3D"/>
    <w:rsid w:val="007A7E7A"/>
    <w:rsid w:val="007B7615"/>
    <w:rsid w:val="007C7AA9"/>
    <w:rsid w:val="007E4875"/>
    <w:rsid w:val="007F1955"/>
    <w:rsid w:val="008161AE"/>
    <w:rsid w:val="0082510F"/>
    <w:rsid w:val="00883E31"/>
    <w:rsid w:val="008A47E9"/>
    <w:rsid w:val="008D01CF"/>
    <w:rsid w:val="008E4469"/>
    <w:rsid w:val="00930831"/>
    <w:rsid w:val="00954B5F"/>
    <w:rsid w:val="009846BA"/>
    <w:rsid w:val="00994194"/>
    <w:rsid w:val="009A190E"/>
    <w:rsid w:val="009B22BB"/>
    <w:rsid w:val="009B55AF"/>
    <w:rsid w:val="009C4088"/>
    <w:rsid w:val="009D2BBD"/>
    <w:rsid w:val="009F0CC8"/>
    <w:rsid w:val="00A31184"/>
    <w:rsid w:val="00A62540"/>
    <w:rsid w:val="00A661FF"/>
    <w:rsid w:val="00A66CCA"/>
    <w:rsid w:val="00A93916"/>
    <w:rsid w:val="00AB4BA4"/>
    <w:rsid w:val="00AC007C"/>
    <w:rsid w:val="00AC7F8F"/>
    <w:rsid w:val="00AE16E1"/>
    <w:rsid w:val="00AE18F0"/>
    <w:rsid w:val="00B1126E"/>
    <w:rsid w:val="00B26DA1"/>
    <w:rsid w:val="00B32291"/>
    <w:rsid w:val="00B80D7E"/>
    <w:rsid w:val="00BB1C87"/>
    <w:rsid w:val="00CA3A31"/>
    <w:rsid w:val="00CD09CF"/>
    <w:rsid w:val="00CE6ACD"/>
    <w:rsid w:val="00D03222"/>
    <w:rsid w:val="00D043F3"/>
    <w:rsid w:val="00D16784"/>
    <w:rsid w:val="00D262EC"/>
    <w:rsid w:val="00D43695"/>
    <w:rsid w:val="00D56C7E"/>
    <w:rsid w:val="00DA4C3D"/>
    <w:rsid w:val="00DB089B"/>
    <w:rsid w:val="00DE0978"/>
    <w:rsid w:val="00DF3D5D"/>
    <w:rsid w:val="00DF7FD9"/>
    <w:rsid w:val="00E03844"/>
    <w:rsid w:val="00E115FB"/>
    <w:rsid w:val="00E17BB0"/>
    <w:rsid w:val="00E20980"/>
    <w:rsid w:val="00E55CB0"/>
    <w:rsid w:val="00E645EE"/>
    <w:rsid w:val="00E65DD4"/>
    <w:rsid w:val="00EC4085"/>
    <w:rsid w:val="00EC6FAD"/>
    <w:rsid w:val="00ED074D"/>
    <w:rsid w:val="00ED5248"/>
    <w:rsid w:val="00ED5EF5"/>
    <w:rsid w:val="00F14FD5"/>
    <w:rsid w:val="00F43BD8"/>
    <w:rsid w:val="00F83593"/>
    <w:rsid w:val="00F97FFD"/>
    <w:rsid w:val="00FA53A7"/>
    <w:rsid w:val="00FB6686"/>
    <w:rsid w:val="00FD3E1F"/>
    <w:rsid w:val="00FD5FE8"/>
    <w:rsid w:val="00FE694A"/>
    <w:rsid w:val="075F2C6B"/>
    <w:rsid w:val="21FD2FEC"/>
    <w:rsid w:val="3FE413D3"/>
    <w:rsid w:val="5D956E4F"/>
    <w:rsid w:val="64663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autoRedefine/>
    <w:semiHidden/>
    <w:unhideWhenUsed/>
    <w:qFormat/>
    <w:uiPriority w:val="99"/>
    <w:pPr>
      <w:ind w:left="100" w:leftChars="2500"/>
    </w:p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rPr>
      <w:rFonts w:ascii="Verdana" w:hAnsi="Verdana" w:eastAsia="仿宋_GB2312"/>
      <w:kern w:val="0"/>
      <w:sz w:val="28"/>
      <w:szCs w:val="28"/>
      <w:lang w:eastAsia="en-US"/>
    </w:rPr>
  </w:style>
  <w:style w:type="paragraph" w:styleId="9">
    <w:name w:val="List Paragraph"/>
    <w:basedOn w:val="1"/>
    <w:autoRedefine/>
    <w:qFormat/>
    <w:uiPriority w:val="34"/>
    <w:pPr>
      <w:ind w:firstLine="420" w:firstLineChars="200"/>
    </w:pPr>
  </w:style>
  <w:style w:type="character" w:customStyle="1" w:styleId="10">
    <w:name w:val="日期 字符"/>
    <w:basedOn w:val="7"/>
    <w:link w:val="2"/>
    <w:autoRedefine/>
    <w:semiHidden/>
    <w:qFormat/>
    <w:uiPriority w:val="99"/>
  </w:style>
  <w:style w:type="paragraph" w:customStyle="1" w:styleId="11">
    <w:name w:val="BodyText"/>
    <w:basedOn w:val="1"/>
    <w:autoRedefine/>
    <w:qFormat/>
    <w:uiPriority w:val="0"/>
    <w:pPr>
      <w:widowControl/>
      <w:spacing w:after="120" w:line="620" w:lineRule="exact"/>
      <w:jc w:val="left"/>
      <w:textAlignment w:val="baseline"/>
    </w:pPr>
    <w:rPr>
      <w:rFonts w:ascii="Calibri" w:hAnsi="Calibri" w:eastAsia="宋体" w:cs="Times New Roman"/>
      <w:szCs w:val="24"/>
    </w:rPr>
  </w:style>
  <w:style w:type="character" w:customStyle="1" w:styleId="12">
    <w:name w:val="页眉 字符"/>
    <w:basedOn w:val="7"/>
    <w:link w:val="4"/>
    <w:autoRedefine/>
    <w:qFormat/>
    <w:uiPriority w:val="99"/>
    <w:rPr>
      <w:sz w:val="18"/>
      <w:szCs w:val="18"/>
    </w:rPr>
  </w:style>
  <w:style w:type="character" w:customStyle="1" w:styleId="13">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970B-C6E1-4C0E-B2E2-283E56B00E3D}">
  <ds:schemaRefs/>
</ds:datastoreItem>
</file>

<file path=docProps/app.xml><?xml version="1.0" encoding="utf-8"?>
<Properties xmlns="http://schemas.openxmlformats.org/officeDocument/2006/extended-properties" xmlns:vt="http://schemas.openxmlformats.org/officeDocument/2006/docPropsVTypes">
  <Template>Normal.dotm</Template>
  <Pages>4</Pages>
  <Words>761</Words>
  <Characters>4340</Characters>
  <Lines>36</Lines>
  <Paragraphs>10</Paragraphs>
  <TotalTime>3</TotalTime>
  <ScaleCrop>false</ScaleCrop>
  <LinksUpToDate>false</LinksUpToDate>
  <CharactersWithSpaces>5091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2024-05-20T03:12:00Z</dcterms:created>
  <dc:creator>令森 孔</dc:creator>
  <cp:lastModifiedBy>Administrator</cp:lastModifiedBy>
  <cp:lastPrinted>2024-05-20T03:33:00Z</cp:lastPrinted>
  <dcterms:modified xsi:type="dcterms:W3CDTF">2024-05-20T09:14:12Z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FEBED94E50E140CC80C9ECA2587A36B6_13</vt:lpwstr>
  </property>
</Properties>
</file>