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中小企业特色产业集群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典型案例信息汇总表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填报单位：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联系人及联系方式：</w:t>
      </w:r>
    </w:p>
    <w:tbl>
      <w:tblPr>
        <w:tblStyle w:val="8"/>
        <w:tblW w:w="9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057"/>
        <w:gridCol w:w="1884"/>
        <w:gridCol w:w="41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案例方向</w:t>
            </w:r>
          </w:p>
        </w:tc>
        <w:tc>
          <w:tcPr>
            <w:tcW w:w="4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案例主要内容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28"/>
          <w:lang w:eastAsia="zh-CN"/>
        </w:rPr>
        <w:t>中小企业特色产业集群案例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集群名称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县级行政区划中小企业主管部门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案例方向</w:t>
            </w:r>
          </w:p>
          <w:p>
            <w:pPr>
              <w:pStyle w:val="2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（可选择1——3个方向，最多不超过3个）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协作共享：包括但不限于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产供销一体化协同、制造资源共享、大中小企业协同、参与先进制造业集群培育建设。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质量品牌：包括但不限于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质量诊断提升、集群品牌运营管理。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创新提升：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lang w:val="en-US" w:eastAsia="zh-CN"/>
              </w:rPr>
              <w:t>包括但不限于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lang w:eastAsia="zh-CN"/>
              </w:rPr>
              <w:t>大中小企业融通创新、产学研协同创新、小试中试平台建设、创新成果转化、知识产权运用维护、标准研制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数字化升级：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lang w:eastAsia="zh-CN"/>
              </w:rPr>
              <w:t>包括但不限于数字化新模式新业态推广应用、数字化服务、工业互联网平台建设应用、集群主导产业链式数字化转型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绿色化转型：包括但不限于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能源结构优化、设备节能改造、资源综合利用、碳排放监测。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开放合作：包括但不限于引进人才、技术、资本等资源，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参与国际合作机制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和交流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、促进主导产品走出去、境外合作安全风险防控。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治理服务：包括但不限于公共服务体系建设、治理机制完善、统筹集群发展、中小企业合法权益维护。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案例题目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（题目需亮点突出、特色鲜明）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摘要：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概括案例主要内容。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一、集群基本情况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集群主导产业发展情况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行业地位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荣誉称号等。2023年，集群总产值，中小企业数量，专精特新中小企业数量，专精特新“小巨人”企业数量，制造业单项冠军数量。近三年集群中小企业主持制定国际、国家、行业标准数量，中小企业有效发明专利数量，万人发明专利拥有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二、典型做法及解决的问题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介绍创新亮点之处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、解决的问题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及推广的价值。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三、实施成效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介绍实施成效。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四、附录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8" w:right="1474" w:bottom="1814" w:left="1587" w:header="851" w:footer="1417" w:gutter="0"/>
          <w:pgNumType w:fmt="numberInDash" w:start="1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产业图谱、工作流程图、活动照片、主导产品照片、平台界面展示等图表，图片不小于2M，单独附文件。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表格、流程图等文件请提供可编辑版本。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示例：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打好轻量化、链式化组合拳 破解集群企业数字化转型难题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摘要：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聚焦主导产业特点，以信息技改工程总承包、......等方式，破解集群中小企业缺乏数字化转型能力、......等难题，形成了“XXXXXXX”的数字化转型模式。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一、集群基本情况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集群以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为主导产业，构建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产业集中度、专业化程度居全国前列，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产品市场占有率居全国领先水平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2023年，集群总产值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亿元，中小企业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专精特新中小企业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专精特新“小巨人”企业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家。近三年集群中小企业主持制修订国家标准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项、行业标准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中小企业有效发明专利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项，万人发明专利拥有量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二、典型做法及解决的问题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一是以“工程总承包”方式，破解中小企业缺乏数字化转型能力的难题。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借鉴总承包“交钥匙”方式，遴选行业基础扎实、信息技术水平领先的工业信息工程公司作为总承包商，负责为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中小企业量身定制数字化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转型方案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，包括提供技改路线、软硬件开发、系统集成、运营维护等，使中小企业在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数字化转型过程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中省心、省力、省钱。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二是以“小批量免费体验”方式，破解中小企业对数字化转型顾虑多的难题。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针对企业设备有效利用率低、产量实时统计慢、设备能耗浪费严重等N项共性问题，开发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 微智造系统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成立“小批量免费体验基金”，每年进行一定数量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的免费改造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，让参与企业实实在在感受数字化改造前后生产效率、产品质量、成本与能耗等方面的变化。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集群量身打造了解决企业数字化转型共性问题的轻量化系统，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实现生产管理的数据化、透明化和实时化，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平均每家企业数字化转型费用控制在XX万元，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形成了“我要改、自觉改”的良好氛围。企业平均设备有效利用率提高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%，设备故障发现与处理速度提高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%以上，产品加工平均综合成本下降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%，劳动用工成本下降接近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四、附录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1.集群XX产业链图谱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2.XX系统界面展示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81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件4</w:t>
      </w:r>
    </w:p>
    <w:p>
      <w:pPr>
        <w:jc w:val="left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28"/>
          <w:lang w:val="en-US" w:eastAsia="zh-CN"/>
        </w:rPr>
        <w:t>中小企业特色产业集群培育举措</w:t>
      </w:r>
    </w:p>
    <w:p>
      <w:pPr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开展本地区中小企业特色产业集群发展促进工作的总体情况。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凝练总结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分点说明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政策出台情况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概述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出台的促进中小企业特色产业集群发展政策措施，以及执行情况。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请随附政策原文。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资金支持情况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对国家级、省级中小企业特色产业集群的资金支持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举措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，以及相关基金、专项资金支持情况。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服务活动情况</w:t>
      </w:r>
    </w:p>
    <w:p>
      <w:pPr>
        <w:pStyle w:val="4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本地区推动中小企业特色产业集群培育工作的工作机制，以及以中小企业特色产业集群为平台开展的大中小企业协同、产业链协作、金融支持、品牌塑造、数字化绿色化转型升级、开放合作等服务活动情况。</w:t>
      </w:r>
    </w:p>
    <w:p/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>
      <w:bookmarkStart w:id="0" w:name="_GoBack"/>
      <w:bookmarkEnd w:id="0"/>
    </w:p>
    <w:sectPr>
      <w:footerReference r:id="rId6" w:type="default"/>
      <w:pgSz w:w="11906" w:h="16838"/>
      <w:pgMar w:top="2098" w:right="1474" w:bottom="181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Cascadia Mono SemiLigh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D120"/>
    <w:multiLevelType w:val="singleLevel"/>
    <w:tmpl w:val="640ED12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047D8B"/>
    <w:rsid w:val="371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uiPriority w:val="0"/>
    <w:rPr>
      <w:rFonts w:eastAsia="宋体"/>
    </w:rPr>
  </w:style>
  <w:style w:type="paragraph" w:styleId="5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标题4"/>
    <w:basedOn w:val="1"/>
    <w:next w:val="3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2024-06-11T09:08:56Z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